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DF1F" w14:textId="77777777" w:rsidR="006F4140" w:rsidRPr="007D7A75" w:rsidRDefault="006F4140" w:rsidP="006F4140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</w:pPr>
      <w:r w:rsidRPr="007D7A75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0"/>
          <w:szCs w:val="20"/>
          <w14:ligatures w14:val="none"/>
        </w:rPr>
        <w:t>NOTICE TO TAXPAYERS OF ADDITIONAL APPROPRIATION</w:t>
      </w:r>
    </w:p>
    <w:p w14:paraId="44F290C9" w14:textId="6B004B22" w:rsidR="006F4140" w:rsidRPr="006F4140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</w:pPr>
      <w:r w:rsidRPr="007D7A75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Notice is hereby given to the taxpayers </w:t>
      </w:r>
      <w:r w:rsidRPr="006F4140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of Middle</w:t>
      </w:r>
      <w:r w:rsidRPr="007D7A75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Township, </w:t>
      </w:r>
      <w:r w:rsidRPr="006F4140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Hendricks, </w:t>
      </w:r>
      <w:r w:rsidRPr="007D7A75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County, Indiana, that the proper legal officers of the Township at their regular meeting place at </w:t>
      </w:r>
      <w:r w:rsidRPr="006F4140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400 East Main Street, Pittsboro, IN 46167 rear building</w:t>
      </w:r>
      <w:r w:rsidRPr="007D7A75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at </w:t>
      </w:r>
      <w:r w:rsidRPr="006F4140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7:00 p</w:t>
      </w:r>
      <w:r w:rsidRPr="007D7A75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m., on </w:t>
      </w:r>
      <w:r w:rsidRPr="006F4140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the 15th</w:t>
      </w:r>
      <w:r w:rsidRPr="007D7A75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day of </w:t>
      </w:r>
      <w:r w:rsidRPr="006F4140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>June 2026</w:t>
      </w:r>
      <w:r w:rsidRPr="007D7A75"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14:ligatures w14:val="none"/>
        </w:rPr>
        <w:t xml:space="preserve"> will consider the following additional appropriations in excess of the budget for the current year.</w:t>
      </w:r>
    </w:p>
    <w:p w14:paraId="272F1C30" w14:textId="2BF46EF6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14:ligatures w14:val="none"/>
        </w:rPr>
        <w:t>Fund Name</w:t>
      </w:r>
    </w:p>
    <w:p w14:paraId="7A493168" w14:textId="77777777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Township General Fund (Personal Services)</w:t>
      </w:r>
    </w:p>
    <w:p w14:paraId="3A1FFFC5" w14:textId="50AD67CE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1AB Salary of Clerical help                                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="00544CBA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$4,400.00</w:t>
      </w:r>
    </w:p>
    <w:p w14:paraId="2A5827E5" w14:textId="27741A16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1BA Social Security-Civil Township Share        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="00544CBA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$2,350.00</w:t>
      </w:r>
    </w:p>
    <w:p w14:paraId="275E1EA8" w14:textId="0A8E9167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1BB Fire Health Insurance 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  <w:t>$140,000.00</w:t>
      </w:r>
    </w:p>
    <w:p w14:paraId="767AEDE6" w14:textId="77777777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1BC PERF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$2,250.00</w:t>
      </w:r>
    </w:p>
    <w:p w14:paraId="36F065F8" w14:textId="536D010F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Total 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Township General Fund (Personal </w:t>
      </w:r>
      <w:r w:rsidR="00D4697D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Services) </w:t>
      </w:r>
      <w:r w:rsidR="00D4697D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="00544CBA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$149,000.00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</w:p>
    <w:p w14:paraId="64F96168" w14:textId="20056C4B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Township General Fund (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Capital Outlay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)</w:t>
      </w:r>
    </w:p>
    <w:p w14:paraId="394A88F3" w14:textId="221EA3F3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4B Buildings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$150,000.00</w:t>
      </w:r>
    </w:p>
    <w:p w14:paraId="2D02F773" w14:textId="34BFFC07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Total 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Township General Fund (Capital Outlay)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="00544CBA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$150,000.00</w:t>
      </w:r>
    </w:p>
    <w:p w14:paraId="3CD64235" w14:textId="661FE169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>GRAND TOTAL TOWNSHIP GENERAL FUND</w:t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ab/>
      </w:r>
      <w:r w:rsidR="00544CBA"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ab/>
        <w:t>$299,000.00</w:t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ab/>
      </w:r>
    </w:p>
    <w:p w14:paraId="6F22ACC3" w14:textId="3E84A7C7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14:ligatures w14:val="none"/>
        </w:rPr>
        <w:t>Fund Name</w:t>
      </w:r>
    </w:p>
    <w:p w14:paraId="47DA7825" w14:textId="448E74DB" w:rsidR="006F4140" w:rsidRPr="002C52E3" w:rsidRDefault="006F4140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8604 Special Fire Protection Territory Fund </w:t>
      </w:r>
      <w:r w:rsidR="00544CBA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(Capital Outlay)</w:t>
      </w:r>
    </w:p>
    <w:p w14:paraId="4D952D99" w14:textId="6D480F56" w:rsidR="00544CBA" w:rsidRPr="002C52E3" w:rsidRDefault="00544CBA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4A Capital Outlay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$76,000.00</w:t>
      </w:r>
    </w:p>
    <w:p w14:paraId="6DB4C336" w14:textId="62B67A3E" w:rsidR="006F4140" w:rsidRPr="002C52E3" w:rsidRDefault="00544CBA" w:rsidP="006F414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Total 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Special Fire Protection Territory Fund (Capital </w:t>
      </w:r>
      <w:r w:rsidR="00D4697D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Outlay) </w:t>
      </w:r>
      <w:r w:rsidR="00D4697D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$76,000.00</w:t>
      </w:r>
    </w:p>
    <w:p w14:paraId="11BBEFCC" w14:textId="2DADABCF" w:rsidR="00544CBA" w:rsidRPr="002C52E3" w:rsidRDefault="00544CBA" w:rsidP="00544CB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 xml:space="preserve">GRAND TOTAL </w:t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>FIRE PROTECTION TERRITORY FUND</w:t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ab/>
        <w:t>$</w:t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>76,000.00</w:t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ab/>
      </w:r>
    </w:p>
    <w:p w14:paraId="217E352A" w14:textId="77777777" w:rsidR="00544CBA" w:rsidRPr="002C52E3" w:rsidRDefault="00544CBA" w:rsidP="00544CB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14:ligatures w14:val="none"/>
        </w:rPr>
        <w:t>Fund Name</w:t>
      </w:r>
    </w:p>
    <w:p w14:paraId="01CA431C" w14:textId="3031F6CE" w:rsidR="00544CBA" w:rsidRPr="002C52E3" w:rsidRDefault="00544CBA" w:rsidP="00544CB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86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92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 Special Fire Protection Territory Fund (Capital Outlay)</w:t>
      </w:r>
    </w:p>
    <w:p w14:paraId="4B1CA28A" w14:textId="44055867" w:rsidR="00544CBA" w:rsidRPr="002C52E3" w:rsidRDefault="00544CBA" w:rsidP="00544CB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4A Capital Outlay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$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u w:val="single"/>
          <w14:ligatures w14:val="none"/>
        </w:rPr>
        <w:t>15,000.00</w:t>
      </w:r>
    </w:p>
    <w:p w14:paraId="2A530091" w14:textId="19CF4014" w:rsidR="00544CBA" w:rsidRPr="002C52E3" w:rsidRDefault="00544CBA" w:rsidP="00544CB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Total Special Fire Protection Territory 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Replacement </w:t>
      </w:r>
      <w:r w:rsidR="00D4697D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 xml:space="preserve">Fund) </w:t>
      </w:r>
      <w:r w:rsidR="00D4697D"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$</w:t>
      </w:r>
      <w:r w:rsidRPr="002C52E3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14:ligatures w14:val="none"/>
        </w:rPr>
        <w:t>15,000.00</w:t>
      </w:r>
    </w:p>
    <w:p w14:paraId="334E6837" w14:textId="77777777" w:rsidR="00544CBA" w:rsidRPr="002C52E3" w:rsidRDefault="00544CBA" w:rsidP="00544CB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</w:pP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 xml:space="preserve">GRAND TOTAL </w:t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 xml:space="preserve">SPECIAL </w:t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 xml:space="preserve">FIRE PROTECTION </w:t>
      </w:r>
    </w:p>
    <w:p w14:paraId="4EEDC47C" w14:textId="2620F7CD" w:rsidR="00544CBA" w:rsidRDefault="00544CBA" w:rsidP="00544CB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14:ligatures w14:val="none"/>
        </w:rPr>
      </w:pP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 xml:space="preserve">TERRITORY </w:t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>REPLACEMENT FUND</w:t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ab/>
      </w:r>
      <w:r w:rsidRPr="002C52E3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ab/>
      </w:r>
      <w:r w:rsidRPr="009413BF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>$</w:t>
      </w:r>
      <w:r w:rsidR="002C52E3" w:rsidRPr="009413BF">
        <w:rPr>
          <w:rFonts w:ascii="Times New Roman" w:eastAsia="Times New Roman" w:hAnsi="Times New Roman" w:cs="Times New Roman"/>
          <w:i/>
          <w:iCs/>
          <w:color w:val="222222"/>
          <w:kern w:val="0"/>
          <w:sz w:val="16"/>
          <w:szCs w:val="16"/>
          <w14:ligatures w14:val="none"/>
        </w:rPr>
        <w:t>15,000.00</w:t>
      </w:r>
    </w:p>
    <w:p w14:paraId="04643248" w14:textId="77777777" w:rsidR="00FB2BD5" w:rsidRPr="007D7A75" w:rsidRDefault="00FB2BD5" w:rsidP="00FB2B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</w:pPr>
      <w:r w:rsidRPr="007D7A75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>Taxpayers appearing at the meeting shall have a right to be heard.</w:t>
      </w:r>
    </w:p>
    <w:p w14:paraId="12E9ADEE" w14:textId="77777777" w:rsidR="00FB2BD5" w:rsidRPr="007D7A75" w:rsidRDefault="00FB2BD5" w:rsidP="00FB2B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</w:pPr>
      <w:r w:rsidRPr="007D7A75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>The additional appropriations as finally made will be referred to the Indiana Department of Local Government Finance as prescribed by law.</w:t>
      </w:r>
    </w:p>
    <w:p w14:paraId="29C238A9" w14:textId="67D23889" w:rsidR="00FB2BD5" w:rsidRPr="007D7A75" w:rsidRDefault="00FB2BD5" w:rsidP="00FB2B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</w:pPr>
      <w:r w:rsidRPr="007D7A75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 xml:space="preserve">Dated </w:t>
      </w:r>
      <w:r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>this 27th</w:t>
      </w:r>
      <w:r w:rsidRPr="007D7A75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 xml:space="preserve"> day of </w:t>
      </w:r>
      <w:r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>May 2026</w:t>
      </w:r>
    </w:p>
    <w:p w14:paraId="1B0483E3" w14:textId="77777777" w:rsidR="00FB2BD5" w:rsidRPr="007D7A75" w:rsidRDefault="00FB2BD5" w:rsidP="00FB2B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174462CD" w14:textId="7C8D2C1B" w:rsidR="00FB2BD5" w:rsidRDefault="00FB2BD5" w:rsidP="00FB2B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</w:pPr>
      <w:r w:rsidRPr="007D7A75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 xml:space="preserve">Fiscal Officer, </w:t>
      </w:r>
      <w:r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 xml:space="preserve">Middle </w:t>
      </w:r>
      <w:r w:rsidRPr="007D7A75"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>Township</w:t>
      </w:r>
    </w:p>
    <w:p w14:paraId="520F192E" w14:textId="4155680F" w:rsidR="00FB2BD5" w:rsidRPr="007D7A75" w:rsidRDefault="00FB2BD5" w:rsidP="00FB2B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14:ligatures w14:val="none"/>
        </w:rPr>
        <w:t>Timothy Griffith</w:t>
      </w:r>
    </w:p>
    <w:p w14:paraId="046A970B" w14:textId="3F6E3BA4" w:rsidR="006F4140" w:rsidRDefault="006F4140" w:rsidP="00544CBA">
      <w:pPr>
        <w:shd w:val="clear" w:color="auto" w:fill="FFFFFF"/>
        <w:spacing w:after="180" w:line="240" w:lineRule="auto"/>
      </w:pPr>
    </w:p>
    <w:sectPr w:rsidR="006F4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40"/>
    <w:rsid w:val="002129B3"/>
    <w:rsid w:val="002C52E3"/>
    <w:rsid w:val="00544CBA"/>
    <w:rsid w:val="006F4140"/>
    <w:rsid w:val="009413BF"/>
    <w:rsid w:val="00D4697D"/>
    <w:rsid w:val="00FB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24FA9"/>
  <w15:chartTrackingRefBased/>
  <w15:docId w15:val="{C12D02C1-BEDE-47D0-B72B-09DC4D7E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40"/>
  </w:style>
  <w:style w:type="paragraph" w:styleId="Heading1">
    <w:name w:val="heading 1"/>
    <w:basedOn w:val="Normal"/>
    <w:next w:val="Normal"/>
    <w:link w:val="Heading1Char"/>
    <w:uiPriority w:val="9"/>
    <w:qFormat/>
    <w:rsid w:val="006F4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1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1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1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1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Griffith</dc:creator>
  <cp:keywords/>
  <dc:description/>
  <cp:lastModifiedBy>Timothy Griffith</cp:lastModifiedBy>
  <cp:revision>4</cp:revision>
  <dcterms:created xsi:type="dcterms:W3CDTF">2026-05-27T19:16:00Z</dcterms:created>
  <dcterms:modified xsi:type="dcterms:W3CDTF">2026-05-27T19:49:00Z</dcterms:modified>
</cp:coreProperties>
</file>